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240" w:line="240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Mt. Washington Steering Committee Meeting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4.8.2026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Mt. Washington School – Library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878" w:right="0" w:hanging="518"/>
        <w:jc w:val="center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Mears Avenue, Cincinnati, OH 45230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|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7:00-7:05 -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Call to order 7:15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 of preliminary input by theme |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7:05-7:15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Housing: too much affordable housing, Wayside skeleton, property values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Mobility &amp; Connectivity: Walkability, pedestrian &amp; bike safety, better public transit, good location, connections to bike trails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Economic Development: daily amenities (park, library), more third places (cafe, etc.), more local businesses, hardware store, parking (too much or too little), improvements to the business districts, better mix of businesses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Parks &amp; Greenspaces: we love Stanbery Park, appreciation of the mature trees, more amenities at the park (bathrooms, tables, dog park), and other events like Pumpkin Chuck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Health &amp; Wellness: love the small town feel, diversity (like but more wanted/needed), coordination between neighborhood groups, generally feel safe but safer in the day vs.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Vision Statement |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7:15-7:25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discussion about any revisions – will be posted on the website for feedback - </w:t>
      </w:r>
      <w:r w:rsidDel="00000000" w:rsidR="00000000" w:rsidRPr="00000000">
        <w:rPr>
          <w:color w:val="0000ff"/>
          <w:rtl w:val="0"/>
        </w:rPr>
        <w:t xml:space="preserve">good conversations, not adding to the website at the moment, workshop more before sharing with the public.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 Working Group – Separate Discussions |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7:25-7:45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 into groups of Steering Committee members based on working group selected. In the case of a member being part of multiple groups, choose the one (could be the one you are more interested in or that is more related to your expertise).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topics to be covered under each theme. Where is there overlap with other themes?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 Working Groups – Group Discussion |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7:45-7:55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we want groups to interact and review others’ progress over the next few months? </w:t>
      </w:r>
      <w:r w:rsidDel="00000000" w:rsidR="00000000" w:rsidRPr="00000000">
        <w:rPr>
          <w:color w:val="0000ff"/>
          <w:rtl w:val="0"/>
        </w:rPr>
        <w:t xml:space="preserve">share either minutes or email documentation with the entire steering committee. Working group chairs have a meeting to make 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questions about next steps? </w:t>
      </w:r>
      <w:r w:rsidDel="00000000" w:rsidR="00000000" w:rsidRPr="00000000">
        <w:rPr>
          <w:color w:val="0000ff"/>
          <w:rtl w:val="0"/>
        </w:rPr>
        <w:t xml:space="preserve">May 13 &amp; June 10; conversation on feedback at Knights Fest on May 15th, happy hour 4/23, participation in July 3rd parade, schedule a bird walk?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announcements / discussion</w:t>
      </w:r>
    </w:p>
    <w:sectPr>
      <w:headerReference r:id="rId7" w:type="default"/>
      <w:footerReference r:id="rId8" w:type="default"/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72400" cy="53523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53523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-542924</wp:posOffset>
          </wp:positionH>
          <wp:positionV relativeFrom="paragraph">
            <wp:posOffset>-247649</wp:posOffset>
          </wp:positionV>
          <wp:extent cx="1524000" cy="5334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30" l="0" r="0" t="130"/>
                  <a:stretch>
                    <a:fillRect/>
                  </a:stretch>
                </pic:blipFill>
                <pic:spPr>
                  <a:xfrm>
                    <a:off x="0" y="0"/>
                    <a:ext cx="1524000" cy="533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730"/>
      <w:numFmt w:val="decimal"/>
      <w:lvlText w:val="%1"/>
      <w:lvlJc w:val="left"/>
      <w:pPr>
        <w:ind w:left="880" w:hanging="5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2P+cKoFd4J8Dl2Qs4/fR44c+Q==">CgMxLjA4AHIhMVFSWjhSVWFaR3pSanZQMTgybDJLcjl5ZE14YTBSTU5s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